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August 2022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32"/>
          <w:szCs w:val="32"/>
          <w:u w:val="single"/>
          <w:rtl w:val="0"/>
        </w:rPr>
        <w:t xml:space="preserve">Fifth Grade Supply List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Welcome to 5th grade at Underwood Gifted and Talented Magnet Elementary School.  We are looking forward to working with you all and making this a very exciting school year.  Below is a list of school supplies that are needed for the upcoming school year.</w:t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1  package of pencils (Ticonderoga pencils are preferred.  They are the most durable.)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3-ring binder zippered pencil pouch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1  2 ½ -inch binder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8   insertable tab dividers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1  pink rectangular eraser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1 ream of copy paper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1 box of tissues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2 spiral notebooks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1 two pocket folder (without prongs)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Wish List: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Dry Erase markers (Expo brand)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Notecards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Post-it notes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Markers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Notebook paper (college ruled)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Glue Sticks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color w:val="33333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32"/>
          <w:szCs w:val="32"/>
          <w:rtl w:val="0"/>
        </w:rPr>
        <w:t xml:space="preserve">The 5th grade team</w:t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